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2E" w:rsidRPr="0007332E" w:rsidRDefault="0007332E" w:rsidP="0007332E">
      <w:pPr>
        <w:shd w:val="clear" w:color="auto" w:fill="FFFFFF"/>
        <w:spacing w:after="0" w:line="240" w:lineRule="auto"/>
        <w:jc w:val="both"/>
        <w:rPr>
          <w:rFonts w:ascii="Arial Narrow" w:eastAsia="Times New Roman" w:hAnsi="Arial Narrow" w:cs="Times New Roman"/>
          <w:color w:val="000000" w:themeColor="text1"/>
          <w:sz w:val="27"/>
          <w:szCs w:val="27"/>
          <w:lang w:eastAsia="es-VE"/>
        </w:rPr>
      </w:pPr>
      <w:r w:rsidRPr="0007332E">
        <w:rPr>
          <w:rFonts w:ascii="Arial Narrow" w:eastAsia="Times New Roman" w:hAnsi="Arial Narrow" w:cs="Times New Roman"/>
          <w:b/>
          <w:bCs/>
          <w:color w:val="000000" w:themeColor="text1"/>
          <w:sz w:val="27"/>
          <w:szCs w:val="27"/>
          <w:lang w:eastAsia="es-VE"/>
        </w:rPr>
        <w:t>Exposición de Motivos</w:t>
      </w: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 </w:t>
      </w: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I</w:t>
      </w:r>
    </w:p>
    <w:p w:rsid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La organización política y territorial y el esquema de distribución de competencias en materia de sanidad y asistencia sanitaria que establecen la Constitución y los Estatutos de Autonomía, provocan el nacimiento, en el año 1986 y mediante la Ley 14/1986, de 25 de abril, General de Sanidad, del Sistema Nacional de Salud, concebido como el conjunto de los Servicios de Salud con un funcionamiento armónico y coordinado.</w:t>
      </w: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p>
    <w:p w:rsid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La Ley General de Sanidad establece que en los Servicios de Salud se integrarán los diferentes servicios sanitarios públicos del respectivo ámbito territorial. Tal integración se realiza con las peculiaridades organizativas y funcionales de los correspondientes centros, entre ellas el régimen jurídico de su personal, lo que motiva que en los Servicios de Salud y en sus centros sanitarios se encuentre prestando servicios personal con vinculación funcionarial, laboral y estatutaria.</w:t>
      </w: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p>
    <w:p w:rsid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Si bien el personal funcionario y laboral ha visto sus respectivos regímenes jurídicos actualizados tras la promulgación de la Constitución Española, no ha sucedido así respecto al personal estatutario que, sin perjuicio de determinadas modificaciones normativas puntuales, viene en gran parte regulado por Estatutos preconstitucionales. Resulta, pues, necesario actualizar y adaptar el régimen jurídico de este personal, tanto en lo que se refiere al modelo del Estado Autonómico como en lo relativo al concepto y alcance actual de la asistencia sanitaria.</w:t>
      </w: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Tal es el objetivo que afronta esta Ley, a través del establecimiento de las normas básicas relativas a este personal y mediante la aprobación de su Estatuto-Marco, todo ello conforme a las previsiones del artículo 149.1.18ª de la Constitución Española.</w:t>
      </w: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 </w:t>
      </w: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II</w:t>
      </w:r>
    </w:p>
    <w:p w:rsid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Los profesionales sanitarios y demás colectivos de personal que prestan sus servicios en los centros e instituciones sanitarias de la Seguridad Social han tenido históricamente en España una regulación específica. Esa regulación propia se ha identificado con la expresión "personal estatutario" que deriva directamente de la denominación de los tres Estatutos de Personal -el Estatuto de Personal Médico, el Estatuto de Personal Sanitario no Facultativo y el Estatuto de Personal no Sanitario- de tales Centros e Instituciones.</w:t>
      </w: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p>
    <w:p w:rsid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 xml:space="preserve">La necesidad de mantener una regulación especial para el personal de los servicios sanitarios ha sido apreciada, y reiteradamente declarada, por las normas reguladoras del personal de los servicios públicos. Así, la Ley 30/1984, de 2 de agosto, de Medidas para la Reforma de la Función Pública, mantuvo vigente en su totalidad el régimen estatutario </w:t>
      </w:r>
      <w:r w:rsidRPr="0007332E">
        <w:rPr>
          <w:rFonts w:ascii="Arial Narrow" w:eastAsia="Times New Roman" w:hAnsi="Arial Narrow" w:cs="Times New Roman"/>
          <w:color w:val="000000" w:themeColor="text1"/>
          <w:sz w:val="27"/>
          <w:szCs w:val="27"/>
          <w:shd w:val="clear" w:color="auto" w:fill="FFFFFF"/>
          <w:lang w:eastAsia="es-VE"/>
        </w:rPr>
        <w:lastRenderedPageBreak/>
        <w:t>de este personal, determinando, en su Disposición Transitoria Cuarta, que sería objeto de una legislación especial.</w:t>
      </w: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p>
    <w:p w:rsid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 xml:space="preserve">Asimismo, la Ley General de Sanidad, en su artículo 84 estableció que un Estatuto-Marco regularía </w:t>
      </w:r>
      <w:proofErr w:type="gramStart"/>
      <w:r w:rsidRPr="0007332E">
        <w:rPr>
          <w:rFonts w:ascii="Arial Narrow" w:eastAsia="Times New Roman" w:hAnsi="Arial Narrow" w:cs="Times New Roman"/>
          <w:color w:val="000000" w:themeColor="text1"/>
          <w:sz w:val="27"/>
          <w:szCs w:val="27"/>
          <w:shd w:val="clear" w:color="auto" w:fill="FFFFFF"/>
          <w:lang w:eastAsia="es-VE"/>
        </w:rPr>
        <w:t>la normativa básica aplicable al personal estatutario en todos los Servicios de Salud, normas básicas específicas y diferenciadas</w:t>
      </w:r>
      <w:proofErr w:type="gramEnd"/>
      <w:r w:rsidRPr="0007332E">
        <w:rPr>
          <w:rFonts w:ascii="Arial Narrow" w:eastAsia="Times New Roman" w:hAnsi="Arial Narrow" w:cs="Times New Roman"/>
          <w:color w:val="000000" w:themeColor="text1"/>
          <w:sz w:val="27"/>
          <w:szCs w:val="27"/>
          <w:shd w:val="clear" w:color="auto" w:fill="FFFFFF"/>
          <w:lang w:eastAsia="es-VE"/>
        </w:rPr>
        <w:t xml:space="preserve"> de las generales de los funcionarios públicos.</w:t>
      </w: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p>
    <w:p w:rsid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La conveniencia de una normativa propia para este personal deriva de la necesidad de que su régimen jurídico se adapte a las específicas características del ejercicio de las profesiones sanitarias y del servicio sanitario-asistencial, así como a las peculiaridades organizativas del Sistema Nacional de Salud.</w:t>
      </w: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p>
    <w:p w:rsid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Este último aspecto, la adecuación del Estatuto-Marco a los peculiares principios organizativos del Sistema Nacional de Salud, merece ser resaltado por cuanto constituye una de las piezas angulares de la nueva regulación del personal.</w:t>
      </w: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p>
    <w:p w:rsid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El Sistema Nacional de Salud es un modelo organizativo especial, que sólo existe en el ámbito de los servicios sanitarios públicos, que crea y configura la Ley General de Sanidad como medio de adaptación de tales servicios a la organización política y territorial española, y que se concibe como el conjunto de los diferentes Servicios de Salud con un funcionamiento armónico y coordinado.</w:t>
      </w: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p>
    <w:p w:rsid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Ello, junto al elevado valor social y político que en un Estado constitucionalmente tipificado como social y democrático de derecho tiene el bien salud, ha motivado que en estos ya más de doce años de existencia del Sistema Nacional de Salud se hayan producido numerosos análisis, informes y propuestas tendentes a su consolidación, modernización y mejora.</w:t>
      </w: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p>
    <w:p w:rsid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El más relevante de ellos lo constituye el Acuerdo Parlamentario para la Consolidación y Modernización del Sistema Nacional de Salud, aprobado por el Pleno del Congreso de los Diputados el día 18 de diciembre de 1997, en cuyo Apartado 10 se considera imprescindible el establecimiento de un nuevo modelo de relaciones laborales para el personal estatutario de los Servicios de Salud, a través de un Estatuto-Marco que habría de desempeñar un papel nuclear como elemento impulsor de la dinámica de evolución, desarrollo y consolidación de nuestro Sistema Nacional de Salud.</w:t>
      </w: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p>
    <w:p w:rsid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 xml:space="preserve">El propio Congreso de los Diputados señaló las líneas maestras de esa nueva regulación y marcó sus objetivos generales. Entre ellos cabe destacar los de incrementar la motivación de los profesionales y su compromiso con la gestión, el establecimiento de un adecuado sistema de incentivos, la desburocratización y flexibilización de las relaciones </w:t>
      </w:r>
      <w:r w:rsidRPr="0007332E">
        <w:rPr>
          <w:rFonts w:ascii="Arial Narrow" w:eastAsia="Times New Roman" w:hAnsi="Arial Narrow" w:cs="Times New Roman"/>
          <w:color w:val="000000" w:themeColor="text1"/>
          <w:sz w:val="27"/>
          <w:szCs w:val="27"/>
          <w:shd w:val="clear" w:color="auto" w:fill="FFFFFF"/>
          <w:lang w:eastAsia="es-VE"/>
        </w:rPr>
        <w:lastRenderedPageBreak/>
        <w:t>profesionales, la descentralización de los procesos de selección y de promoción profesional, la personalización de las condiciones de trabajo, especialmente en lo relativo a retribuciones y niveles de dedicación o la adecuación de las dotaciones de personal a las necesidades efectivas de los centros, a través de una normativa específica de carácter básico para este personal, con respeto tanto de las competencias para su desarrollo por las Comunidades Autónomas como del objetivo global de impulsar la autonomía de gestión de los servicios, centros e instituciones.</w:t>
      </w: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p>
    <w:p w:rsid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Por ello, y de acuerdo con las previsiones del artículo 149.1.18ª de la Constitución Española, las normas de esta Ley constituyen las bases del régimen estatutario de este personal de los Servicios de Salud.</w:t>
      </w: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Así, el Estatuto-Marco deroga el régimen estatutario configurado por los tres Estatutos de Personal -todos ellos preconstitucionales- y por las disposiciones que los modificaron, complementaron o desarrollaron, sustituyéndolo por el marco básico que compone el propio Estatuto y por las disposiciones que, en el ámbito de cada Administración Pública, desarrollen tal marco básico y general.</w:t>
      </w: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 </w:t>
      </w: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III</w:t>
      </w:r>
    </w:p>
    <w:p w:rsid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El contenido de la Ley se estructura en 14 Capítulos, a través de los cuales se regulan los aspectos generales y básicos de las diferentes materias que componen el régimen jurídico del personal estatutario.</w:t>
      </w: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p>
    <w:p w:rsid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En el Capítulo I se establece con nitidez el carácter funcionarial de la relación estatutaria, sin perjuicio de sus peculiaridades especiales, que se señalan en la propia Ley y que deberán ser desarrolladas en cada una de las Comunidades Autónomas respecto de su propio personal. Los criterios para la clasificación del personal estatutario, basados en las funciones a desarrollar y en los niveles de titulación, figuran en su Capítulo II, que también regula la figura del personal temporal, cuya importancia y necesidad en el sector sanitario deriva de la exigencia de mantener permanente y constantemente en funcionamiento los distintos centros e instituciones.</w:t>
      </w: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p>
    <w:p w:rsid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El Capítulo III enumera los mecanismos de ordenación y planificación del personal de cada uno de los Servicios de Salud, entre los que cabe destacar la existencia de Registros de Personal que se integrarán en el Sistema de Información Sanitaria que establece la Ley de Cohesión y Calidad del Sistema Nacional de Salud.</w:t>
      </w: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p>
    <w:p w:rsid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 xml:space="preserve">Los requisitos y condiciones para la adquisición de la condición de personal estatutario, los supuestos de su pérdida, la provisión de plazas, la selección de personal y la promoción interna se regulan en los Capítulos V y VI de la Ley, en cuyo Capítulo IV se </w:t>
      </w:r>
      <w:r w:rsidRPr="0007332E">
        <w:rPr>
          <w:rFonts w:ascii="Arial Narrow" w:eastAsia="Times New Roman" w:hAnsi="Arial Narrow" w:cs="Times New Roman"/>
          <w:color w:val="000000" w:themeColor="text1"/>
          <w:sz w:val="27"/>
          <w:szCs w:val="27"/>
          <w:shd w:val="clear" w:color="auto" w:fill="FFFFFF"/>
          <w:lang w:eastAsia="es-VE"/>
        </w:rPr>
        <w:lastRenderedPageBreak/>
        <w:t>enumeran los derechos y deberes de este personal, determinados desde la perspectiva de la esencial función de protección de la salud que desempeñan.</w:t>
      </w: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El principio de libre circulación y la posibilidad de movilidad del personal en todo el Sistema Nacional de Salud, se consagra en el Capítulo VII. Esta movilidad general, básica para dotar al Sistema Nacional de Salud de cohesión y coordinación, es también un mecanismo para el desarrollo del personal, que se complementa con la regulación de la carrera que se contiene en el Capítulo VIII y con el régimen retributivo que se fija en el Capítulo IX.</w:t>
      </w: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 </w:t>
      </w: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IV</w:t>
      </w:r>
    </w:p>
    <w:p w:rsid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Consideración especial merece la Sección 1ª del Capítulo X, pues en ella se lleva a cabo la transposición al sector sanitario de dos Directivas de la Comunidad Europea relativas a la protección de la seguridad y salud de los trabajadores a través de la regulación de los tiempos de trabajo y del régimen de descansos, las Directivas 93/104/CE, del Consejo, de 23 de noviembre de 1993, y 2000/34/CE, del Parlamento Europeo y del Consejo, de 22 de junio de 2000.</w:t>
      </w: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p>
    <w:p w:rsid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Para la transposición de dichas Directivas se ha tenido especialmente presente, como no podía ser de otra forma, que la Constitución Española, al proclamar en su artículo 43.1 el derecho a la protección de la salud, viene a reconocer la especial importancia que, tanto a nivel individual como familiar y social, tienen las prestaciones de carácter sanitario. El apartado 2 del mismo precepto constitucional encarga a los poderes públicos la organización y tutela de la salud pública, a través de medidas preventivas y de las prestaciones y servicios necesarios, lo que determina que un elevado número de los centros y establecimientos en los que tales prestaciones y servicios se desarrollan deban permanecer en funcionamiento de manera constante y continuada. Tales centros y establecimientos han debido adoptar, por tanto, un modelo de organización funcional específico, directamente orientado a poder atender, en cualquier momento, las demandas de prestación sanitaria que puedan producirse.</w:t>
      </w: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p>
    <w:p w:rsid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También la Constitución, en su artículo 40.2, asigna a los poderes públicos la función de velar por la seguridad e higiene en el trabajo, y establece que garantizarán el descanso necesario mediante la limitación de la jornada laboral y las vacaciones periódicas retribuidas.</w:t>
      </w: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p>
    <w:p w:rsid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 xml:space="preserve">La articulación coordinada de ambas previsiones constitucionales debe suponer que las necesarias peculiaridades del modelo de organización de los centros y establecimientos sanitarios no impliquen un detrimento de las exigencias de protección de la seguridad y de la salud laboral de sus trabajadores. Por ello, resulta conveniente regular mediante esta norma legal las condiciones generales que, garantizando el adecuado nivel de </w:t>
      </w:r>
      <w:r w:rsidRPr="0007332E">
        <w:rPr>
          <w:rFonts w:ascii="Arial Narrow" w:eastAsia="Times New Roman" w:hAnsi="Arial Narrow" w:cs="Times New Roman"/>
          <w:color w:val="000000" w:themeColor="text1"/>
          <w:sz w:val="27"/>
          <w:szCs w:val="27"/>
          <w:shd w:val="clear" w:color="auto" w:fill="FFFFFF"/>
          <w:lang w:eastAsia="es-VE"/>
        </w:rPr>
        <w:lastRenderedPageBreak/>
        <w:t>protección en lo relativo al tiempo de trabajo y los descansos del personal, garanticen asimismo que los Centros y Establecimientos puedan ofrecer, de forma permanente y continuada, sus servicios a los ciudadanos.</w:t>
      </w: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Tales condiciones generales deben asegurar un régimen común, aplicable con carácter general a los diferentes centros y establecimientos sanitarios, con el fin de garantizar el funcionamiento armónico y homogéneo de todos los Servicios de Salud.</w:t>
      </w: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Entre las características generales que esta Ley señala, cabe citar la fijación de unos límites máximos para la duración de la jornada ordinaria de trabajo, así como para la duración conjunta de ésta y de la jornada complementaria que resulte necesario realizar para atender al funcionamiento permanente de los Centros Sanitarios. La Ley señala también los tiempos mínimos de descanso diario y semanal, articulando regímenes de descanso alternativo para los supuestos en los que la necesaria prestación continuada de servicios impida su disfrute en los períodos señalados.</w:t>
      </w:r>
      <w:bookmarkStart w:id="0" w:name="_GoBack"/>
      <w:bookmarkEnd w:id="0"/>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 </w:t>
      </w: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V</w:t>
      </w:r>
    </w:p>
    <w:p w:rsidR="0007332E" w:rsidRPr="0007332E" w:rsidRDefault="0007332E" w:rsidP="0007332E">
      <w:pPr>
        <w:spacing w:after="0" w:line="240" w:lineRule="auto"/>
        <w:jc w:val="both"/>
        <w:rPr>
          <w:rFonts w:ascii="Arial Narrow" w:eastAsia="Times New Roman" w:hAnsi="Arial Narrow" w:cs="Times New Roman"/>
          <w:color w:val="000000" w:themeColor="text1"/>
          <w:sz w:val="27"/>
          <w:szCs w:val="27"/>
          <w:shd w:val="clear" w:color="auto" w:fill="FFFFFF"/>
          <w:lang w:eastAsia="es-VE"/>
        </w:rPr>
      </w:pPr>
      <w:r w:rsidRPr="0007332E">
        <w:rPr>
          <w:rFonts w:ascii="Arial Narrow" w:eastAsia="Times New Roman" w:hAnsi="Arial Narrow" w:cs="Times New Roman"/>
          <w:color w:val="000000" w:themeColor="text1"/>
          <w:sz w:val="27"/>
          <w:szCs w:val="27"/>
          <w:shd w:val="clear" w:color="auto" w:fill="FFFFFF"/>
          <w:lang w:eastAsia="es-VE"/>
        </w:rPr>
        <w:t>Esta Ley se completa con la regulación de las situaciones del personal, el régimen disciplinario, las incompatibilidades y los sistemas de representación del personal, de participación y de negociación colectiva en sus Capítulos XI a XIV, con previsiones específicas en relación con situaciones determinadas en sus Disposiciones Adicionales, con las necesarias determinaciones para su progresiva aplicación en las Disposiciones Transitorias, con la derogación de las normas afectadas por su entrada en vigor y con las Disposiciones Finales.</w:t>
      </w:r>
    </w:p>
    <w:p w:rsidR="005F43FF" w:rsidRPr="0007332E" w:rsidRDefault="005F43FF" w:rsidP="0007332E">
      <w:pPr>
        <w:jc w:val="both"/>
        <w:rPr>
          <w:color w:val="000000" w:themeColor="text1"/>
        </w:rPr>
      </w:pPr>
    </w:p>
    <w:sectPr w:rsidR="005F43FF" w:rsidRPr="000733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729"/>
    <w:multiLevelType w:val="multilevel"/>
    <w:tmpl w:val="8280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22E7D"/>
    <w:multiLevelType w:val="multilevel"/>
    <w:tmpl w:val="4D2C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D0F97"/>
    <w:multiLevelType w:val="multilevel"/>
    <w:tmpl w:val="86E6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7079C"/>
    <w:multiLevelType w:val="multilevel"/>
    <w:tmpl w:val="3510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11D8A"/>
    <w:multiLevelType w:val="multilevel"/>
    <w:tmpl w:val="C39E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92F02"/>
    <w:multiLevelType w:val="multilevel"/>
    <w:tmpl w:val="3164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245E22"/>
    <w:multiLevelType w:val="multilevel"/>
    <w:tmpl w:val="060A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D9219C"/>
    <w:multiLevelType w:val="multilevel"/>
    <w:tmpl w:val="398E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BD1488"/>
    <w:multiLevelType w:val="multilevel"/>
    <w:tmpl w:val="CFC6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625DF8"/>
    <w:multiLevelType w:val="multilevel"/>
    <w:tmpl w:val="A0D0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693759"/>
    <w:multiLevelType w:val="multilevel"/>
    <w:tmpl w:val="4566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0C6131"/>
    <w:multiLevelType w:val="multilevel"/>
    <w:tmpl w:val="CD34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DE501D"/>
    <w:multiLevelType w:val="multilevel"/>
    <w:tmpl w:val="7E36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3314CC"/>
    <w:multiLevelType w:val="multilevel"/>
    <w:tmpl w:val="29CE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B9010E"/>
    <w:multiLevelType w:val="multilevel"/>
    <w:tmpl w:val="4294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AC50C6"/>
    <w:multiLevelType w:val="multilevel"/>
    <w:tmpl w:val="09AE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CD7386"/>
    <w:multiLevelType w:val="multilevel"/>
    <w:tmpl w:val="75C4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F534FB"/>
    <w:multiLevelType w:val="multilevel"/>
    <w:tmpl w:val="62B0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8A6A1C"/>
    <w:multiLevelType w:val="multilevel"/>
    <w:tmpl w:val="EB7C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F12039"/>
    <w:multiLevelType w:val="multilevel"/>
    <w:tmpl w:val="A7FA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747DB7"/>
    <w:multiLevelType w:val="multilevel"/>
    <w:tmpl w:val="39D8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EF35D2"/>
    <w:multiLevelType w:val="multilevel"/>
    <w:tmpl w:val="1508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2580D"/>
    <w:multiLevelType w:val="multilevel"/>
    <w:tmpl w:val="4846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A57E63"/>
    <w:multiLevelType w:val="multilevel"/>
    <w:tmpl w:val="054A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3937CA"/>
    <w:multiLevelType w:val="multilevel"/>
    <w:tmpl w:val="F5AC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F005AA"/>
    <w:multiLevelType w:val="multilevel"/>
    <w:tmpl w:val="F8E4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DC5B3C"/>
    <w:multiLevelType w:val="multilevel"/>
    <w:tmpl w:val="D2D2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0D1B86"/>
    <w:multiLevelType w:val="multilevel"/>
    <w:tmpl w:val="2298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472B1A"/>
    <w:multiLevelType w:val="multilevel"/>
    <w:tmpl w:val="75CC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7"/>
  </w:num>
  <w:num w:numId="3">
    <w:abstractNumId w:val="14"/>
  </w:num>
  <w:num w:numId="4">
    <w:abstractNumId w:val="10"/>
  </w:num>
  <w:num w:numId="5">
    <w:abstractNumId w:val="24"/>
  </w:num>
  <w:num w:numId="6">
    <w:abstractNumId w:val="20"/>
  </w:num>
  <w:num w:numId="7">
    <w:abstractNumId w:val="13"/>
  </w:num>
  <w:num w:numId="8">
    <w:abstractNumId w:val="26"/>
  </w:num>
  <w:num w:numId="9">
    <w:abstractNumId w:val="15"/>
  </w:num>
  <w:num w:numId="10">
    <w:abstractNumId w:val="1"/>
  </w:num>
  <w:num w:numId="11">
    <w:abstractNumId w:val="2"/>
  </w:num>
  <w:num w:numId="12">
    <w:abstractNumId w:val="5"/>
  </w:num>
  <w:num w:numId="13">
    <w:abstractNumId w:val="12"/>
  </w:num>
  <w:num w:numId="14">
    <w:abstractNumId w:val="22"/>
  </w:num>
  <w:num w:numId="15">
    <w:abstractNumId w:val="28"/>
  </w:num>
  <w:num w:numId="16">
    <w:abstractNumId w:val="23"/>
  </w:num>
  <w:num w:numId="17">
    <w:abstractNumId w:val="19"/>
  </w:num>
  <w:num w:numId="18">
    <w:abstractNumId w:val="4"/>
  </w:num>
  <w:num w:numId="19">
    <w:abstractNumId w:val="9"/>
  </w:num>
  <w:num w:numId="20">
    <w:abstractNumId w:val="7"/>
  </w:num>
  <w:num w:numId="21">
    <w:abstractNumId w:val="25"/>
  </w:num>
  <w:num w:numId="22">
    <w:abstractNumId w:val="17"/>
  </w:num>
  <w:num w:numId="23">
    <w:abstractNumId w:val="6"/>
  </w:num>
  <w:num w:numId="24">
    <w:abstractNumId w:val="16"/>
  </w:num>
  <w:num w:numId="25">
    <w:abstractNumId w:val="11"/>
  </w:num>
  <w:num w:numId="26">
    <w:abstractNumId w:val="8"/>
  </w:num>
  <w:num w:numId="27">
    <w:abstractNumId w:val="0"/>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4E"/>
    <w:rsid w:val="0003194E"/>
    <w:rsid w:val="0007332E"/>
    <w:rsid w:val="0040483E"/>
    <w:rsid w:val="005F43FF"/>
    <w:rsid w:val="00797DAB"/>
    <w:rsid w:val="00AF315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3194E"/>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03194E"/>
    <w:rPr>
      <w:b/>
      <w:bCs/>
    </w:rPr>
  </w:style>
  <w:style w:type="character" w:customStyle="1" w:styleId="apple-converted-space">
    <w:name w:val="apple-converted-space"/>
    <w:basedOn w:val="Fuentedeprrafopredeter"/>
    <w:rsid w:val="0003194E"/>
  </w:style>
  <w:style w:type="character" w:styleId="Hipervnculo">
    <w:name w:val="Hyperlink"/>
    <w:basedOn w:val="Fuentedeprrafopredeter"/>
    <w:uiPriority w:val="99"/>
    <w:semiHidden/>
    <w:unhideWhenUsed/>
    <w:rsid w:val="0040483E"/>
    <w:rPr>
      <w:color w:val="0000FF"/>
      <w:u w:val="single"/>
    </w:rPr>
  </w:style>
  <w:style w:type="character" w:customStyle="1" w:styleId="submenus">
    <w:name w:val="submenus"/>
    <w:basedOn w:val="Fuentedeprrafopredeter"/>
    <w:rsid w:val="0040483E"/>
  </w:style>
  <w:style w:type="character" w:customStyle="1" w:styleId="bold">
    <w:name w:val="bold"/>
    <w:basedOn w:val="Fuentedeprrafopredeter"/>
    <w:rsid w:val="0040483E"/>
  </w:style>
  <w:style w:type="paragraph" w:styleId="Textodeglobo">
    <w:name w:val="Balloon Text"/>
    <w:basedOn w:val="Normal"/>
    <w:link w:val="TextodegloboCar"/>
    <w:uiPriority w:val="99"/>
    <w:semiHidden/>
    <w:unhideWhenUsed/>
    <w:rsid w:val="004048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48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3194E"/>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03194E"/>
    <w:rPr>
      <w:b/>
      <w:bCs/>
    </w:rPr>
  </w:style>
  <w:style w:type="character" w:customStyle="1" w:styleId="apple-converted-space">
    <w:name w:val="apple-converted-space"/>
    <w:basedOn w:val="Fuentedeprrafopredeter"/>
    <w:rsid w:val="0003194E"/>
  </w:style>
  <w:style w:type="character" w:styleId="Hipervnculo">
    <w:name w:val="Hyperlink"/>
    <w:basedOn w:val="Fuentedeprrafopredeter"/>
    <w:uiPriority w:val="99"/>
    <w:semiHidden/>
    <w:unhideWhenUsed/>
    <w:rsid w:val="0040483E"/>
    <w:rPr>
      <w:color w:val="0000FF"/>
      <w:u w:val="single"/>
    </w:rPr>
  </w:style>
  <w:style w:type="character" w:customStyle="1" w:styleId="submenus">
    <w:name w:val="submenus"/>
    <w:basedOn w:val="Fuentedeprrafopredeter"/>
    <w:rsid w:val="0040483E"/>
  </w:style>
  <w:style w:type="character" w:customStyle="1" w:styleId="bold">
    <w:name w:val="bold"/>
    <w:basedOn w:val="Fuentedeprrafopredeter"/>
    <w:rsid w:val="0040483E"/>
  </w:style>
  <w:style w:type="paragraph" w:styleId="Textodeglobo">
    <w:name w:val="Balloon Text"/>
    <w:basedOn w:val="Normal"/>
    <w:link w:val="TextodegloboCar"/>
    <w:uiPriority w:val="99"/>
    <w:semiHidden/>
    <w:unhideWhenUsed/>
    <w:rsid w:val="004048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4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301903">
      <w:bodyDiv w:val="1"/>
      <w:marLeft w:val="0"/>
      <w:marRight w:val="0"/>
      <w:marTop w:val="0"/>
      <w:marBottom w:val="0"/>
      <w:divBdr>
        <w:top w:val="none" w:sz="0" w:space="0" w:color="auto"/>
        <w:left w:val="none" w:sz="0" w:space="0" w:color="auto"/>
        <w:bottom w:val="none" w:sz="0" w:space="0" w:color="auto"/>
        <w:right w:val="none" w:sz="0" w:space="0" w:color="auto"/>
      </w:divBdr>
    </w:div>
    <w:div w:id="719548316">
      <w:bodyDiv w:val="1"/>
      <w:marLeft w:val="0"/>
      <w:marRight w:val="0"/>
      <w:marTop w:val="0"/>
      <w:marBottom w:val="0"/>
      <w:divBdr>
        <w:top w:val="none" w:sz="0" w:space="0" w:color="auto"/>
        <w:left w:val="none" w:sz="0" w:space="0" w:color="auto"/>
        <w:bottom w:val="none" w:sz="0" w:space="0" w:color="auto"/>
        <w:right w:val="none" w:sz="0" w:space="0" w:color="auto"/>
      </w:divBdr>
    </w:div>
    <w:div w:id="896207254">
      <w:bodyDiv w:val="1"/>
      <w:marLeft w:val="0"/>
      <w:marRight w:val="0"/>
      <w:marTop w:val="0"/>
      <w:marBottom w:val="0"/>
      <w:divBdr>
        <w:top w:val="none" w:sz="0" w:space="0" w:color="auto"/>
        <w:left w:val="none" w:sz="0" w:space="0" w:color="auto"/>
        <w:bottom w:val="none" w:sz="0" w:space="0" w:color="auto"/>
        <w:right w:val="none" w:sz="0" w:space="0" w:color="auto"/>
      </w:divBdr>
      <w:divsChild>
        <w:div w:id="1273904647">
          <w:marLeft w:val="0"/>
          <w:marRight w:val="0"/>
          <w:marTop w:val="0"/>
          <w:marBottom w:val="0"/>
          <w:divBdr>
            <w:top w:val="none" w:sz="0" w:space="0" w:color="auto"/>
            <w:left w:val="none" w:sz="0" w:space="0" w:color="auto"/>
            <w:bottom w:val="none" w:sz="0" w:space="0" w:color="auto"/>
            <w:right w:val="none" w:sz="0" w:space="0" w:color="auto"/>
          </w:divBdr>
        </w:div>
      </w:divsChild>
    </w:div>
    <w:div w:id="174602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5</Pages>
  <Words>1880</Words>
  <Characters>10340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dc:creator>
  <cp:lastModifiedBy>Aru</cp:lastModifiedBy>
  <cp:revision>1</cp:revision>
  <dcterms:created xsi:type="dcterms:W3CDTF">2016-10-06T01:30:00Z</dcterms:created>
  <dcterms:modified xsi:type="dcterms:W3CDTF">2016-10-06T07:12:00Z</dcterms:modified>
</cp:coreProperties>
</file>