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65" w:rsidRDefault="00811B65" w:rsidP="00811B65">
      <w:pPr>
        <w:jc w:val="both"/>
      </w:pPr>
      <w:r>
        <w:t>Disposiciones Transitorias</w:t>
      </w:r>
    </w:p>
    <w:p w:rsidR="00811B65" w:rsidRDefault="00811B65" w:rsidP="00811B65">
      <w:pPr>
        <w:jc w:val="both"/>
      </w:pPr>
      <w:r>
        <w:t>Primera. Aplicación paulatina de la jornada de trabajo al personal en formación mediante Residencia.</w:t>
      </w:r>
    </w:p>
    <w:p w:rsidR="00811B65" w:rsidRDefault="00811B65" w:rsidP="00811B65">
      <w:pPr>
        <w:jc w:val="both"/>
      </w:pPr>
      <w:r>
        <w:t>La limitación del tiempo de trabajo establecida en el artículo 48.2 de esta Ley se aplicará al personal sanitario en formación como especialistas mediante residencia, tanto de los Centros públicos como de los privados acreditados para la docencia, de acu</w:t>
      </w:r>
      <w:r>
        <w:t>erdo con las siguientes normas:</w:t>
      </w:r>
    </w:p>
    <w:p w:rsidR="00811B65" w:rsidRDefault="00811B65" w:rsidP="00811B65">
      <w:pPr>
        <w:jc w:val="both"/>
      </w:pPr>
      <w:r>
        <w:t xml:space="preserve">a) 58 horas semanales de promedio en cómputo anual, entre el 1 de agosto de 2004 y el 31 de julio de 2007. </w:t>
      </w:r>
    </w:p>
    <w:p w:rsidR="00811B65" w:rsidRDefault="00811B65" w:rsidP="00811B65">
      <w:pPr>
        <w:jc w:val="both"/>
      </w:pPr>
      <w:r>
        <w:t xml:space="preserve">b) 56 horas semanales de promedio en cómputo semestral, entre el 1 de agosto de 2007 y el 31 de julio de 2008. </w:t>
      </w:r>
    </w:p>
    <w:p w:rsidR="00811B65" w:rsidRDefault="00811B65" w:rsidP="00811B65">
      <w:pPr>
        <w:jc w:val="both"/>
      </w:pPr>
      <w:r>
        <w:t>c) A partir del 1 de agosto de 2008 será aplicable a este personal la limitación</w:t>
      </w:r>
      <w:r>
        <w:t xml:space="preserve"> general de 48 horas semanales.</w:t>
      </w:r>
    </w:p>
    <w:p w:rsidR="00811B65" w:rsidRDefault="00811B65" w:rsidP="00811B65">
      <w:pPr>
        <w:jc w:val="both"/>
      </w:pPr>
      <w:r>
        <w:t>Segunda. Equiparación a los grupos de clasificació</w:t>
      </w:r>
      <w:r>
        <w:t>n de los funcionarios públicos.</w:t>
      </w:r>
    </w:p>
    <w:p w:rsidR="00811B65" w:rsidRDefault="00811B65" w:rsidP="00811B65">
      <w:pPr>
        <w:jc w:val="both"/>
      </w:pPr>
      <w:r>
        <w:t>En tanto se mantenga la clasificación general de los funcionarios públicos y los criterios de equivalencia de las titulaciones establecidos en el artículo 25 de la Ley 30/1984, de 2 de agosto, de Medidas para la Reforma de la Función Pública, el personal estatutario, a efectos retributivos y funcionales, te</w:t>
      </w:r>
      <w:r>
        <w:t>ndrá la siguiente equiparación:</w:t>
      </w:r>
    </w:p>
    <w:p w:rsidR="00811B65" w:rsidRDefault="00811B65" w:rsidP="00811B65">
      <w:pPr>
        <w:jc w:val="both"/>
      </w:pPr>
      <w:r>
        <w:t xml:space="preserve">a) El personal a que se refiere el artículo 6.2.a), primer y segundo guión, al Grupo A. </w:t>
      </w:r>
    </w:p>
    <w:p w:rsidR="00811B65" w:rsidRDefault="00811B65" w:rsidP="00811B65">
      <w:pPr>
        <w:jc w:val="both"/>
      </w:pPr>
      <w:r>
        <w:t xml:space="preserve">b) El personal a que se refiere el artículo 6.2.a), tercer y cuarto guión, al Grupo B. </w:t>
      </w:r>
    </w:p>
    <w:p w:rsidR="00811B65" w:rsidRDefault="00811B65" w:rsidP="00811B65">
      <w:pPr>
        <w:jc w:val="both"/>
      </w:pPr>
      <w:r>
        <w:t xml:space="preserve">c) El personal a que se refiere el artículo 6.2.b), primer guión, al Grupo C. </w:t>
      </w:r>
    </w:p>
    <w:p w:rsidR="00811B65" w:rsidRDefault="00811B65" w:rsidP="00811B65">
      <w:pPr>
        <w:jc w:val="both"/>
      </w:pPr>
      <w:r>
        <w:t xml:space="preserve">d) El personal a que se refiere el artículo 6.2.b), segundo guión, al Grupo D. </w:t>
      </w:r>
    </w:p>
    <w:p w:rsidR="00811B65" w:rsidRDefault="00811B65" w:rsidP="00811B65">
      <w:pPr>
        <w:jc w:val="both"/>
      </w:pPr>
      <w:r>
        <w:t>e) El personal a que se refiere el artículo 7.2, letras a), primer guión, a), segundo guión, b) primer guión, b) segundo guión y c), a los Grupos A, B, C, D y E, respectivamente.</w:t>
      </w:r>
    </w:p>
    <w:p w:rsidR="00811B65" w:rsidRDefault="00811B65" w:rsidP="00811B65">
      <w:pPr>
        <w:jc w:val="both"/>
      </w:pPr>
    </w:p>
    <w:p w:rsidR="00811B65" w:rsidRDefault="00811B65" w:rsidP="00811B65">
      <w:pPr>
        <w:jc w:val="both"/>
      </w:pPr>
      <w:r>
        <w:t>Te</w:t>
      </w:r>
      <w:r>
        <w:t>rcera. Personal de Cupo y Zona.</w:t>
      </w:r>
    </w:p>
    <w:p w:rsidR="00811B65" w:rsidRDefault="00811B65" w:rsidP="00811B65">
      <w:pPr>
        <w:jc w:val="both"/>
      </w:pPr>
      <w:r>
        <w:t>En la forma, plazo y condiciones que en cada Servicio de Salud, en su caso, se determine, el personal que percibe haberes por el sistema de Cupo y Zona se podrá integrar en el sistema de prestación de servicios, de dedicación y de retribucione</w:t>
      </w:r>
      <w:r>
        <w:t>s que se establece en esta Ley.</w:t>
      </w:r>
    </w:p>
    <w:p w:rsidR="00811B65" w:rsidRDefault="00811B65" w:rsidP="00811B65">
      <w:pPr>
        <w:jc w:val="both"/>
      </w:pPr>
      <w:r>
        <w:t>Cuarta. Adaptación al</w:t>
      </w:r>
      <w:r>
        <w:t xml:space="preserve"> nuevo sistema de situaciones.</w:t>
      </w:r>
    </w:p>
    <w:p w:rsidR="00811B65" w:rsidRDefault="00811B65" w:rsidP="00811B65">
      <w:pPr>
        <w:jc w:val="both"/>
      </w:pPr>
      <w:r>
        <w:t xml:space="preserve">El personal estatutario fijo que a la entrada en vigor de esta Ley no se encuentre en situación de servicio activo, podrá permanecer en la misma situación en que se encuentra con los efectos, </w:t>
      </w:r>
      <w:r>
        <w:lastRenderedPageBreak/>
        <w:t>derechos y deberes que de ella se deriven y en tanto permanezcan las causas que, en su m</w:t>
      </w:r>
      <w:r>
        <w:t>omento, motivaron su concesión.</w:t>
      </w:r>
    </w:p>
    <w:p w:rsidR="00811B65" w:rsidRDefault="00811B65" w:rsidP="00811B65">
      <w:pPr>
        <w:jc w:val="both"/>
      </w:pPr>
      <w:r>
        <w:t>El reingreso al servicio activo se producirá, en todo caso, de acuerdo con las normas reguladoras del mismo en el momento en e</w:t>
      </w:r>
      <w:r>
        <w:t>l que el reingreso se produzca.</w:t>
      </w:r>
    </w:p>
    <w:p w:rsidR="00811B65" w:rsidRDefault="00811B65" w:rsidP="00811B65">
      <w:pPr>
        <w:jc w:val="both"/>
      </w:pPr>
      <w:r>
        <w:t xml:space="preserve">Quinta. </w:t>
      </w:r>
      <w:r>
        <w:t>Convocatorias en tramitación.</w:t>
      </w:r>
    </w:p>
    <w:p w:rsidR="00811B65" w:rsidRDefault="00811B65" w:rsidP="00811B65">
      <w:pPr>
        <w:jc w:val="both"/>
      </w:pPr>
      <w:r>
        <w:t>Los procedimientos de selección de personal estatutario y de provisión de plazas amparados en la Ley 16/2001, de 21 de noviembre, por la que se establece un proceso extraordinario de consolidación y provisión de plazas de personal estatutario, y en las normas equivalentes de las Comunidades Autónomas, se tramitarán de conformidad con l</w:t>
      </w:r>
      <w:r>
        <w:t>o establecido en dichas normas.</w:t>
      </w:r>
    </w:p>
    <w:p w:rsidR="00811B65" w:rsidRDefault="00811B65" w:rsidP="00811B65">
      <w:pPr>
        <w:jc w:val="both"/>
      </w:pPr>
      <w:r>
        <w:t>Sexta. Ap</w:t>
      </w:r>
      <w:r>
        <w:t>licación paulatina de esta Ley.</w:t>
      </w:r>
    </w:p>
    <w:p w:rsidR="00811B65" w:rsidRDefault="00811B65" w:rsidP="00811B65">
      <w:pPr>
        <w:pStyle w:val="Prrafodelista"/>
        <w:numPr>
          <w:ilvl w:val="0"/>
          <w:numId w:val="1"/>
        </w:numPr>
        <w:jc w:val="both"/>
      </w:pPr>
      <w:r>
        <w:t xml:space="preserve">No obstante lo previsto en las Disposiciones Derogatoria Única y Final Tercera, las previsiones de esta Ley que a continuación se indican producirán efectos en la forma que se señala: </w:t>
      </w:r>
    </w:p>
    <w:p w:rsidR="00811B65" w:rsidRDefault="00811B65" w:rsidP="00811B65">
      <w:pPr>
        <w:pStyle w:val="Prrafodelista"/>
        <w:numPr>
          <w:ilvl w:val="1"/>
          <w:numId w:val="1"/>
        </w:numPr>
        <w:jc w:val="both"/>
      </w:pPr>
      <w:r>
        <w:t xml:space="preserve">Las previsiones de los artículos 40 y 43 de esta Ley entrarán en vigor, en cada Servicio de Salud, cuando así se establezca en las normas a que se refiere su artículo 3. En tanto se produce tal entrada en vigor se mantendrán vigentes, en cada servicio de salud y sin carácter básico, las normas previstas en la Disposición Derogatoria Única. b), o las equivalentes de cada Comunidad Autónoma. </w:t>
      </w:r>
    </w:p>
    <w:p w:rsidR="00811B65" w:rsidRDefault="00811B65" w:rsidP="00811B65">
      <w:pPr>
        <w:pStyle w:val="Prrafodelista"/>
        <w:numPr>
          <w:ilvl w:val="1"/>
          <w:numId w:val="1"/>
        </w:numPr>
        <w:jc w:val="both"/>
      </w:pPr>
      <w:r>
        <w:t xml:space="preserve">Se mantendrán vigentes, en tanto se procede a su regulación en cada servicio de salud, las disposiciones relativas a categorías profesionales del personal estatutario y a las funciones de las mismas contenidas en las normas previstas en la Disposición Derogatoria </w:t>
      </w:r>
      <w:proofErr w:type="spellStart"/>
      <w:r>
        <w:t>Única.e</w:t>
      </w:r>
      <w:proofErr w:type="spellEnd"/>
      <w:r>
        <w:t xml:space="preserve">), f) y g). </w:t>
      </w:r>
    </w:p>
    <w:p w:rsidR="00811B65" w:rsidRDefault="00811B65" w:rsidP="00811B65">
      <w:pPr>
        <w:pStyle w:val="Prrafodelista"/>
        <w:numPr>
          <w:ilvl w:val="1"/>
          <w:numId w:val="1"/>
        </w:numPr>
        <w:jc w:val="both"/>
      </w:pPr>
      <w:r>
        <w:t xml:space="preserve">Se mantendrá vigente, con rango reglamentario y sin carácter básico, y en tanto se proceda a su modificación en cada servicio de salud, la norma citada en la Disposición Derogatoria </w:t>
      </w:r>
      <w:proofErr w:type="spellStart"/>
      <w:r>
        <w:t>Única.d</w:t>
      </w:r>
      <w:proofErr w:type="spellEnd"/>
      <w:r>
        <w:t xml:space="preserve">). </w:t>
      </w:r>
    </w:p>
    <w:p w:rsidR="00811B65" w:rsidRDefault="00811B65" w:rsidP="00811B65">
      <w:pPr>
        <w:pStyle w:val="Prrafodelista"/>
        <w:numPr>
          <w:ilvl w:val="1"/>
          <w:numId w:val="1"/>
        </w:numPr>
        <w:jc w:val="both"/>
      </w:pPr>
      <w:r>
        <w:t>Las prestaciones de carácter social previstas en las disposiciones a que se refieren los apartados e), f) y g) de la Disposición Derogatoria Única, se mantendrán exclusivamente respecto a quienes ostenten derechos subjetivos ya adquiridos a tales prestaciones en el momento de entrada en vigor de esta Ley.</w:t>
      </w:r>
    </w:p>
    <w:p w:rsidR="00811B65" w:rsidRDefault="00811B65" w:rsidP="00811B65">
      <w:pPr>
        <w:pStyle w:val="Prrafodelista"/>
        <w:numPr>
          <w:ilvl w:val="0"/>
          <w:numId w:val="1"/>
        </w:numPr>
        <w:jc w:val="both"/>
      </w:pPr>
      <w:r>
        <w:t xml:space="preserve">El límite máximo de 150 horas anuales que se fija en el segundo párrafo del artículo 49.1 de esta Ley, se aplicará de forma progresiva durante los 10 años siguientes a su entrada en vigor, en la forma que determine el Gobierno mediante Real Decreto, adoptado previo informe de la Comisión de Recursos Humanos del Sistema Nacional de Salud. En dicho informe, que deberá ser elaborado en el plazo de 18 meses desde la entrada en vigor de esta norma, se analizarán detalladamente las implicaciones que en la organización funcional de los Centros Sanitarios, en la financiación de los Servicios de Salud y en las necesidades de especialistas, tendrá la puesta en marcha de la indicada limitación, así como las posibles excepciones a la misma derivadas del hecho insular y las medidas que resulte conveniente adoptar en función de todo ello. Igualmente, en tal informe se </w:t>
      </w:r>
      <w:r>
        <w:lastRenderedPageBreak/>
        <w:t>analizarán las repercusiones económicas de una progresiva adaptación de la jornada de trabajo de los Centros y Servicios Sanitarios a la vigente con carácter general en el resto de los Servicios Públicos.</w:t>
      </w:r>
    </w:p>
    <w:p w:rsidR="00811B65" w:rsidRDefault="00811B65" w:rsidP="00811B65">
      <w:pPr>
        <w:jc w:val="both"/>
      </w:pPr>
      <w:r>
        <w:t>Para la elaboración del informe a que se refiere el párrafo anterior, la Comisión de Recursos Humanos del Sistema Nacional de Salud recabará las opiniones de expertos de las Administraciones Sanitarias, de los Servicios de Salud y de</w:t>
      </w:r>
      <w:r>
        <w:t xml:space="preserve"> las Organizaciones Sindicales.</w:t>
      </w:r>
    </w:p>
    <w:p w:rsidR="00811B65" w:rsidRDefault="00811B65" w:rsidP="00811B65">
      <w:pPr>
        <w:jc w:val="both"/>
      </w:pPr>
      <w:r>
        <w:t>Séptima Rég</w:t>
      </w:r>
      <w:r>
        <w:t>imen transitorio de jubilación.</w:t>
      </w:r>
    </w:p>
    <w:p w:rsidR="00811B65" w:rsidRDefault="00811B65" w:rsidP="00811B65">
      <w:pPr>
        <w:jc w:val="both"/>
      </w:pPr>
      <w:r>
        <w:t>El personal estatutario fijo, que a la entrada en vigor de esta Ley hubiera cumplido 60 años de edad, podrá, voluntariamente, prolongar su edad de jubilación hasta alcanzar los 35 años de cotización a la Seguridad Social, con el límite de un máximo de 5 años sobre la edad fijada en el artículo 26.2 de esta Ley y siempre que quede acreditado que reúne la capacidad funcional necesaria para ejercer la profesión o desarrollar las funciones correspondientes a su nombramiento.</w:t>
      </w:r>
    </w:p>
    <w:p w:rsidR="00A1674D" w:rsidRDefault="00A1674D" w:rsidP="00811B65">
      <w:pPr>
        <w:jc w:val="both"/>
      </w:pPr>
      <w:bookmarkStart w:id="0" w:name="_GoBack"/>
      <w:bookmarkEnd w:id="0"/>
    </w:p>
    <w:sectPr w:rsidR="00A167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BA5"/>
    <w:multiLevelType w:val="hybridMultilevel"/>
    <w:tmpl w:val="5DC26ABE"/>
    <w:lvl w:ilvl="0" w:tplc="200A000F">
      <w:start w:val="1"/>
      <w:numFmt w:val="decimal"/>
      <w:lvlText w:val="%1."/>
      <w:lvlJc w:val="left"/>
      <w:pPr>
        <w:ind w:left="720" w:hanging="360"/>
      </w:pPr>
    </w:lvl>
    <w:lvl w:ilvl="1" w:tplc="67BCF1D2">
      <w:start w:val="1"/>
      <w:numFmt w:val="lowerLetter"/>
      <w:lvlText w:val="%2)"/>
      <w:lvlJc w:val="left"/>
      <w:pPr>
        <w:ind w:left="1440" w:hanging="36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65"/>
    <w:rsid w:val="00811B65"/>
    <w:rsid w:val="00A1674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B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46771">
      <w:bodyDiv w:val="1"/>
      <w:marLeft w:val="0"/>
      <w:marRight w:val="0"/>
      <w:marTop w:val="0"/>
      <w:marBottom w:val="0"/>
      <w:divBdr>
        <w:top w:val="none" w:sz="0" w:space="0" w:color="auto"/>
        <w:left w:val="none" w:sz="0" w:space="0" w:color="auto"/>
        <w:bottom w:val="none" w:sz="0" w:space="0" w:color="auto"/>
        <w:right w:val="none" w:sz="0" w:space="0" w:color="auto"/>
      </w:divBdr>
      <w:divsChild>
        <w:div w:id="2028676265">
          <w:marLeft w:val="0"/>
          <w:marRight w:val="0"/>
          <w:marTop w:val="0"/>
          <w:marBottom w:val="0"/>
          <w:divBdr>
            <w:top w:val="none" w:sz="0" w:space="0" w:color="auto"/>
            <w:left w:val="none" w:sz="0" w:space="0" w:color="auto"/>
            <w:bottom w:val="none" w:sz="0" w:space="0" w:color="auto"/>
            <w:right w:val="none" w:sz="0" w:space="0" w:color="auto"/>
          </w:divBdr>
          <w:divsChild>
            <w:div w:id="79845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543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951</Words>
  <Characters>5232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dc:creator>
  <cp:lastModifiedBy>Aru</cp:lastModifiedBy>
  <cp:revision>1</cp:revision>
  <dcterms:created xsi:type="dcterms:W3CDTF">2016-10-06T08:20:00Z</dcterms:created>
  <dcterms:modified xsi:type="dcterms:W3CDTF">2016-10-06T08:23:00Z</dcterms:modified>
</cp:coreProperties>
</file>